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4B2B6B" w:rsidP="00527656">
      <w:pPr>
        <w:ind w:right="18"/>
        <w:jc w:val="center"/>
        <w:rPr>
          <w:u w:val="single"/>
        </w:rPr>
      </w:pPr>
      <w:r>
        <w:rPr>
          <w:u w:val="single"/>
        </w:rPr>
        <w:t>30.11.2015</w:t>
      </w:r>
      <w:r w:rsidR="00527656">
        <w:t xml:space="preserve">                                                                                    № </w:t>
      </w:r>
      <w:r>
        <w:rPr>
          <w:u w:val="single"/>
        </w:rPr>
        <w:t xml:space="preserve"> 172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527656" w:rsidRDefault="00527656" w:rsidP="00527656">
      <w:pPr>
        <w:jc w:val="center"/>
      </w:pPr>
      <w:r>
        <w:t>Об установлении ставок земельного налога на территории</w:t>
      </w:r>
    </w:p>
    <w:p w:rsidR="00527656" w:rsidRDefault="00527656" w:rsidP="005229AF">
      <w:pPr>
        <w:jc w:val="center"/>
      </w:pPr>
      <w:r>
        <w:t xml:space="preserve">муниципального образования сельское поселение Усть-Юган </w:t>
      </w:r>
      <w:r w:rsidR="00C044BC">
        <w:t>на</w:t>
      </w:r>
      <w:r>
        <w:t xml:space="preserve"> 201</w:t>
      </w:r>
      <w:r w:rsidR="005229AF">
        <w:t>6</w:t>
      </w:r>
      <w:r w:rsidR="00C044BC">
        <w:t xml:space="preserve"> </w:t>
      </w:r>
      <w:r>
        <w:t>год</w:t>
      </w:r>
    </w:p>
    <w:p w:rsidR="00527656" w:rsidRDefault="00527656" w:rsidP="00527656">
      <w:pPr>
        <w:jc w:val="center"/>
      </w:pPr>
    </w:p>
    <w:p w:rsidR="00527656" w:rsidRDefault="00527656" w:rsidP="00527656">
      <w:pPr>
        <w:tabs>
          <w:tab w:val="left" w:pos="709"/>
        </w:tabs>
        <w:ind w:firstLine="567"/>
        <w:jc w:val="both"/>
      </w:pPr>
      <w:r>
        <w:t>В соответствии с Налоговым кодексом Российской Федерации, Фед</w:t>
      </w:r>
      <w:r>
        <w:t>е</w:t>
      </w:r>
      <w:r>
        <w:t>ральным законом от 06.10.2003 № 131-ФЗ «Об общих принципах организ</w:t>
      </w:r>
      <w:r>
        <w:t>а</w:t>
      </w:r>
      <w:r>
        <w:t>ции местного самоуправления в Российской Федерации», Уставом сельск</w:t>
      </w:r>
      <w:r>
        <w:t>о</w:t>
      </w:r>
      <w:r>
        <w:t>го поселения Усть-Юган, Совет депутатов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Утвердить земельный налог на территории муниципального образ</w:t>
      </w:r>
      <w:r>
        <w:t>о</w:t>
      </w:r>
      <w:r>
        <w:t>вания сельское поселение Усть-Юган.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Установить, что налоговая база определяется как кадастровая сто</w:t>
      </w:r>
      <w:r>
        <w:t>и</w:t>
      </w:r>
      <w:r>
        <w:t xml:space="preserve">мость </w:t>
      </w:r>
      <w:proofErr w:type="gramStart"/>
      <w:r>
        <w:t>земельных участков, признаваемых объектом налогообложения в с</w:t>
      </w:r>
      <w:r>
        <w:t>о</w:t>
      </w:r>
      <w:r>
        <w:t>ответствии со статьей 389 Налогового кодекса Российской Федерации и определяется</w:t>
      </w:r>
      <w:proofErr w:type="gramEnd"/>
      <w:r>
        <w:t xml:space="preserve"> в отношении каждого земельного участка как его кадастровая стоимость по состоянию на 1 января года, являющегося налоговым пери</w:t>
      </w:r>
      <w:r>
        <w:t>о</w:t>
      </w:r>
      <w:r>
        <w:t>дом.</w:t>
      </w:r>
    </w:p>
    <w:p w:rsidR="00527656" w:rsidRDefault="00527656" w:rsidP="00527656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t>Установить налоговые ставки в следующих размерах:</w:t>
      </w:r>
    </w:p>
    <w:p w:rsidR="00527656" w:rsidRDefault="005229AF" w:rsidP="00680B01">
      <w:pPr>
        <w:tabs>
          <w:tab w:val="left" w:pos="709"/>
          <w:tab w:val="left" w:pos="851"/>
        </w:tabs>
        <w:ind w:left="426"/>
        <w:jc w:val="both"/>
      </w:pPr>
      <w:r>
        <w:t>1</w:t>
      </w:r>
      <w:r w:rsidR="00680B01">
        <w:t xml:space="preserve">) </w:t>
      </w:r>
      <w:r w:rsidR="00527656">
        <w:t>0,3% от кадастровой стоимости в отношении земельных участков: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отнесенных к землям сельскохозяйственного назначения или к зе</w:t>
      </w:r>
      <w:r>
        <w:rPr>
          <w:sz w:val="26"/>
          <w:szCs w:val="26"/>
        </w:rPr>
        <w:t>м</w:t>
      </w:r>
      <w:r>
        <w:rPr>
          <w:sz w:val="26"/>
          <w:szCs w:val="26"/>
        </w:rPr>
        <w:t>лям в составе зон сельскохозяйственного использования и используемых для сельскохозяйственного производства;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занятых</w:t>
      </w:r>
      <w:proofErr w:type="gramEnd"/>
      <w:r>
        <w:rPr>
          <w:sz w:val="26"/>
          <w:szCs w:val="26"/>
        </w:rPr>
        <w:t xml:space="preserve"> жилищным фондом и объектами инженерной инфраструкт</w:t>
      </w:r>
      <w:r>
        <w:rPr>
          <w:sz w:val="26"/>
          <w:szCs w:val="26"/>
        </w:rPr>
        <w:t>у</w:t>
      </w:r>
      <w:r>
        <w:rPr>
          <w:sz w:val="26"/>
          <w:szCs w:val="26"/>
        </w:rPr>
        <w:t>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тельства;</w:t>
      </w:r>
    </w:p>
    <w:p w:rsidR="00527656" w:rsidRDefault="00527656" w:rsidP="00527656">
      <w:pPr>
        <w:pStyle w:val="ConsPlusNormal"/>
        <w:widowControl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proofErr w:type="gramStart"/>
      <w:r>
        <w:rPr>
          <w:sz w:val="26"/>
          <w:szCs w:val="26"/>
        </w:rPr>
        <w:t>приобретенных</w:t>
      </w:r>
      <w:proofErr w:type="gramEnd"/>
      <w:r>
        <w:rPr>
          <w:sz w:val="26"/>
          <w:szCs w:val="26"/>
        </w:rPr>
        <w:t xml:space="preserve"> (предоставленных) для личного подсобного хозяйства, садоводства, огородничества или животноводства, а также дачного хозя</w:t>
      </w:r>
      <w:r>
        <w:rPr>
          <w:sz w:val="26"/>
          <w:szCs w:val="26"/>
        </w:rPr>
        <w:t>й</w:t>
      </w:r>
      <w:r>
        <w:rPr>
          <w:sz w:val="26"/>
          <w:szCs w:val="26"/>
        </w:rPr>
        <w:t>ства;</w:t>
      </w:r>
    </w:p>
    <w:p w:rsidR="00527656" w:rsidRDefault="005229AF" w:rsidP="00680B01">
      <w:pPr>
        <w:tabs>
          <w:tab w:val="left" w:pos="709"/>
          <w:tab w:val="left" w:pos="851"/>
        </w:tabs>
        <w:ind w:left="426"/>
        <w:jc w:val="both"/>
      </w:pPr>
      <w:r>
        <w:t xml:space="preserve">  2) </w:t>
      </w:r>
      <w:r w:rsidR="00527656">
        <w:t>1,5% от кадастровой стоимости в отношении земельных участков: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</w:t>
      </w:r>
      <w:r w:rsidR="007703AD">
        <w:t>уры и спорта, искусства</w:t>
      </w:r>
      <w:r>
        <w:t>;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r>
        <w:t>- под объектами торговли, общественного питания, бытового обслуж</w:t>
      </w:r>
      <w:r>
        <w:t>и</w:t>
      </w:r>
      <w:r>
        <w:t>вания;</w:t>
      </w:r>
    </w:p>
    <w:p w:rsidR="00527656" w:rsidRDefault="00527656" w:rsidP="00A20F21">
      <w:pPr>
        <w:tabs>
          <w:tab w:val="left" w:pos="709"/>
          <w:tab w:val="left" w:pos="851"/>
        </w:tabs>
        <w:ind w:firstLine="567"/>
        <w:jc w:val="both"/>
      </w:pPr>
      <w:proofErr w:type="gramStart"/>
      <w:r>
        <w:t xml:space="preserve">- </w:t>
      </w:r>
      <w:r w:rsidR="00883EBE">
        <w:t xml:space="preserve"> </w:t>
      </w:r>
      <w:r>
        <w:t>предназначенные для р</w:t>
      </w:r>
      <w:r w:rsidR="00883EBE">
        <w:t>азмещения гаражей и автостоянок;</w:t>
      </w:r>
      <w:proofErr w:type="gramEnd"/>
    </w:p>
    <w:p w:rsidR="00527656" w:rsidRDefault="00883EBE" w:rsidP="00680B01">
      <w:pPr>
        <w:tabs>
          <w:tab w:val="left" w:pos="709"/>
          <w:tab w:val="left" w:pos="851"/>
        </w:tabs>
        <w:jc w:val="both"/>
      </w:pPr>
      <w:r>
        <w:t xml:space="preserve">        - </w:t>
      </w:r>
      <w:r w:rsidR="00527656">
        <w:t>предназначенных для размещения производственных и администр</w:t>
      </w:r>
      <w:r w:rsidR="00527656">
        <w:t>а</w:t>
      </w:r>
      <w:r w:rsidR="00527656">
        <w:t>тивных зданий, строений, сооружений, сооружений промышленности, ко</w:t>
      </w:r>
      <w:r w:rsidR="00527656">
        <w:t>м</w:t>
      </w:r>
      <w:r w:rsidR="00527656">
        <w:t>мунального хозяйства, материально-технического, продовольственного снаб</w:t>
      </w:r>
      <w:r>
        <w:t>жения, сбыта и заготовок;</w:t>
      </w:r>
    </w:p>
    <w:p w:rsidR="00527656" w:rsidRDefault="00527656" w:rsidP="00A20F21">
      <w:pPr>
        <w:tabs>
          <w:tab w:val="left" w:pos="709"/>
          <w:tab w:val="left" w:pos="851"/>
        </w:tabs>
        <w:ind w:left="567"/>
        <w:jc w:val="both"/>
      </w:pPr>
      <w:r>
        <w:t>-</w:t>
      </w:r>
      <w:r w:rsidR="00883EBE">
        <w:t xml:space="preserve"> </w:t>
      </w:r>
      <w:r>
        <w:t>прочие земли.</w:t>
      </w:r>
    </w:p>
    <w:p w:rsidR="00527656" w:rsidRDefault="00527656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Отчетными периодами для налогоплательщиков - организаций,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знаются первый квартал, второй квартал и третий квартал календарного г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да.</w:t>
      </w:r>
    </w:p>
    <w:p w:rsidR="00527656" w:rsidRDefault="001A0D91" w:rsidP="00A20F2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Налогоплательщики-организации</w:t>
      </w:r>
      <w:r w:rsidR="00527656">
        <w:rPr>
          <w:sz w:val="26"/>
          <w:szCs w:val="26"/>
        </w:rPr>
        <w:t>: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A6BA9">
        <w:rPr>
          <w:sz w:val="26"/>
          <w:szCs w:val="26"/>
        </w:rPr>
        <w:t xml:space="preserve">   - уплачивают налог до</w:t>
      </w:r>
      <w:r>
        <w:rPr>
          <w:sz w:val="26"/>
          <w:szCs w:val="26"/>
        </w:rPr>
        <w:t xml:space="preserve"> 1</w:t>
      </w:r>
      <w:r w:rsidR="006A6BA9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года, следующего за истекшим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исчисляют суммы авансовых платежей по налогу по истечении перв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го, второго и третьего квартала текущего налогового периода как одну че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вёртую 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по истечении налогового периода представляют в налоговый орган по месту нахождения земельного участка налоговую декларацию по налогу;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уплачивают авансовые платежи по налогу в течение налогового пер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ода.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5.1. Установить срок уплаты авансовых платежей по земельному нал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гу до 30 апреля, до 31 июля, до 31 октября года, являющегося налоговым периодом.</w:t>
      </w:r>
    </w:p>
    <w:p w:rsidR="00527656" w:rsidRDefault="00527656" w:rsidP="00A20F21">
      <w:pPr>
        <w:pStyle w:val="ConsPlusNormal"/>
        <w:widowControl/>
        <w:tabs>
          <w:tab w:val="left" w:pos="851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5.2. Сумма налога определяется как соответствующая налоговой ста</w:t>
      </w:r>
      <w:r>
        <w:rPr>
          <w:sz w:val="26"/>
          <w:szCs w:val="26"/>
        </w:rPr>
        <w:t>в</w:t>
      </w:r>
      <w:r>
        <w:rPr>
          <w:sz w:val="26"/>
          <w:szCs w:val="26"/>
        </w:rPr>
        <w:t>ке процентная доля налоговой базы и суммами подлежащих уплате в теч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налогового периода авансовых платежей по налогу.</w:t>
      </w:r>
    </w:p>
    <w:p w:rsidR="00527656" w:rsidRDefault="001A0D91" w:rsidP="00527656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Налогоплательщики-физические</w:t>
      </w:r>
      <w:proofErr w:type="gramEnd"/>
      <w:r>
        <w:rPr>
          <w:sz w:val="26"/>
          <w:szCs w:val="26"/>
        </w:rPr>
        <w:t xml:space="preserve"> лица</w:t>
      </w:r>
      <w:r w:rsidR="00527656">
        <w:rPr>
          <w:sz w:val="26"/>
          <w:szCs w:val="26"/>
        </w:rPr>
        <w:t xml:space="preserve">, уплачивают налог </w:t>
      </w:r>
      <w:r w:rsidR="007703AD">
        <w:rPr>
          <w:sz w:val="26"/>
          <w:szCs w:val="26"/>
        </w:rPr>
        <w:t>в срок не позднее 1 декабря</w:t>
      </w:r>
      <w:r w:rsidR="00527656">
        <w:rPr>
          <w:sz w:val="26"/>
          <w:szCs w:val="26"/>
        </w:rPr>
        <w:t xml:space="preserve"> года, следующего за истекшим налоговым периодом.</w:t>
      </w:r>
    </w:p>
    <w:p w:rsidR="00527656" w:rsidRDefault="001A0D91" w:rsidP="00527656">
      <w:pPr>
        <w:tabs>
          <w:tab w:val="left" w:pos="709"/>
          <w:tab w:val="left" w:pos="851"/>
        </w:tabs>
        <w:ind w:firstLine="567"/>
        <w:jc w:val="both"/>
      </w:pPr>
      <w:r>
        <w:t>Налогоплательщики</w:t>
      </w:r>
      <w:r w:rsidR="007703AD">
        <w:t xml:space="preserve"> </w:t>
      </w:r>
      <w:r>
        <w:t>-</w:t>
      </w:r>
      <w:r w:rsidR="007703AD">
        <w:t xml:space="preserve"> </w:t>
      </w:r>
      <w:r>
        <w:t>физические лица</w:t>
      </w:r>
      <w:r w:rsidR="003E46A4">
        <w:t xml:space="preserve"> и индивидуальные предприн</w:t>
      </w:r>
      <w:r w:rsidR="003E46A4">
        <w:t>и</w:t>
      </w:r>
      <w:r w:rsidR="003E46A4">
        <w:t>матели</w:t>
      </w:r>
      <w:r w:rsidR="00527656">
        <w:t>, уплачивают налог на основании налогового уведомления, напра</w:t>
      </w:r>
      <w:r w:rsidR="00527656">
        <w:t>в</w:t>
      </w:r>
      <w:r w:rsidR="00527656">
        <w:t>ленного налоговым органом.</w:t>
      </w:r>
      <w:r w:rsidR="007703AD">
        <w:t xml:space="preserve"> 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709"/>
          <w:tab w:val="left" w:pos="851"/>
        </w:tabs>
        <w:ind w:left="0" w:firstLine="567"/>
        <w:jc w:val="both"/>
      </w:pPr>
      <w:r>
        <w:t>Освободить от уплаты земельного налога следующие категории налогоплательщиков:</w:t>
      </w:r>
      <w:r w:rsidR="007703AD">
        <w:t xml:space="preserve"> </w:t>
      </w:r>
    </w:p>
    <w:p w:rsidR="00527656" w:rsidRDefault="000510D7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ф</w:t>
      </w:r>
      <w:r w:rsidR="006A6BA9">
        <w:t>изических лиц, достигших пенсионного возраста по старости (д</w:t>
      </w:r>
      <w:r w:rsidR="006A6BA9">
        <w:t>а</w:t>
      </w:r>
      <w:r w:rsidR="006A6BA9">
        <w:t>лее – пенсионеров), имеющих в собственности садоводческие или огоро</w:t>
      </w:r>
      <w:r w:rsidR="006A6BA9">
        <w:t>д</w:t>
      </w:r>
      <w:r w:rsidR="006A6BA9">
        <w:t>нические участки. Льготы по уплате земельного налога пенсионерам пред</w:t>
      </w:r>
      <w:r w:rsidR="006A6BA9">
        <w:t>о</w:t>
      </w:r>
      <w:r w:rsidR="006A6BA9">
        <w:t>ставляются в части одного земельного участка</w:t>
      </w:r>
      <w:r w:rsidR="00527656">
        <w:t>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lastRenderedPageBreak/>
        <w:t>муниципальные бюджетные учреждения, муниципальные казённые учреждения, финансируемые из бюджета муниципального образования Нефтеюганский район, муниципального образования сельское поселение Усть-Юган;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некоммерческие организации всех форм собственности;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>органы местного самоуправления и их структурные подразделения в отношении земельных участков под объектами, предоставленными для непосредственного выполнения возложенных на эти учреждения функции;</w:t>
      </w:r>
    </w:p>
    <w:p w:rsidR="00527656" w:rsidRDefault="00A067B2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rPr>
          <w:rFonts w:cs="Arial"/>
          <w:szCs w:val="26"/>
        </w:rPr>
        <w:t xml:space="preserve"> ветеранов и инвалидов Великой О</w:t>
      </w:r>
      <w:r w:rsidR="00527656">
        <w:rPr>
          <w:rFonts w:cs="Arial"/>
          <w:szCs w:val="26"/>
        </w:rPr>
        <w:t>течественной войны не использ</w:t>
      </w:r>
      <w:r w:rsidR="00527656">
        <w:rPr>
          <w:rFonts w:cs="Arial"/>
          <w:szCs w:val="26"/>
        </w:rPr>
        <w:t>у</w:t>
      </w:r>
      <w:r w:rsidR="00527656">
        <w:rPr>
          <w:rFonts w:cs="Arial"/>
          <w:szCs w:val="26"/>
        </w:rPr>
        <w:t>емых земельные участки в предпринимательской деятельности</w:t>
      </w:r>
      <w:r w:rsidR="00527656">
        <w:t>.</w:t>
      </w:r>
    </w:p>
    <w:p w:rsidR="00527656" w:rsidRDefault="0052765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 xml:space="preserve">федеральные бюджетные и казенные </w:t>
      </w:r>
      <w:proofErr w:type="gramStart"/>
      <w:r>
        <w:t>учреждения</w:t>
      </w:r>
      <w:proofErr w:type="gramEnd"/>
      <w:r>
        <w:t xml:space="preserve"> финансируемые из бюджета </w:t>
      </w:r>
      <w:r w:rsidR="000510D7">
        <w:t>Ханты-Мансийского автономного округа-Югры</w:t>
      </w:r>
      <w:r w:rsidR="001A0D91">
        <w:t>;</w:t>
      </w:r>
    </w:p>
    <w:p w:rsidR="005A4078" w:rsidRDefault="00513036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 xml:space="preserve">организаций-инвесторов, реализующих инвестиционные проекты в </w:t>
      </w:r>
      <w:r w:rsidR="00E84636">
        <w:t>с</w:t>
      </w:r>
      <w:r>
        <w:t>ельском поселении Усть-Юган по направлениям деятельности,</w:t>
      </w:r>
      <w:r w:rsidR="00AD591E">
        <w:t xml:space="preserve"> опред</w:t>
      </w:r>
      <w:r w:rsidR="00AD591E">
        <w:t>е</w:t>
      </w:r>
      <w:r w:rsidR="00AD591E">
        <w:t xml:space="preserve">ленным </w:t>
      </w:r>
      <w:r w:rsidR="005A4078">
        <w:t>постановлением Правительства Ханты-Мансийского автономного-Югры от 05.04.2013 № 106-п «О плане создания объектов инвестиционной инфраструктуры в Ханты-Мансийском автономном округе» в размере не менее 100 миллионов рублей, в течение двух налоговых периодов с моме</w:t>
      </w:r>
      <w:r w:rsidR="005A4078">
        <w:t>н</w:t>
      </w:r>
      <w:r w:rsidR="005A4078">
        <w:t>та отражения произведенных капитальных вложений в бухгалтерском б</w:t>
      </w:r>
      <w:r w:rsidR="005A4078">
        <w:t>а</w:t>
      </w:r>
      <w:r w:rsidR="005A4078">
        <w:t>лансе организации-налогоплательщика.</w:t>
      </w:r>
      <w:proofErr w:type="gramEnd"/>
    </w:p>
    <w:p w:rsidR="00513036" w:rsidRDefault="005A4078" w:rsidP="005A4078">
      <w:pPr>
        <w:tabs>
          <w:tab w:val="left" w:pos="0"/>
          <w:tab w:val="left" w:pos="851"/>
        </w:tabs>
        <w:ind w:firstLine="567"/>
        <w:jc w:val="both"/>
      </w:pPr>
      <w:r>
        <w:t>Льгота предоставляется в части земельных участков, занятых имущ</w:t>
      </w:r>
      <w:r>
        <w:t>е</w:t>
      </w:r>
      <w:r>
        <w:t>ством, созданным в результате реализации инвестиционного проекта;</w:t>
      </w:r>
    </w:p>
    <w:p w:rsidR="005A4078" w:rsidRDefault="005A4078" w:rsidP="00527656">
      <w:pPr>
        <w:numPr>
          <w:ilvl w:val="0"/>
          <w:numId w:val="3"/>
        </w:numPr>
        <w:tabs>
          <w:tab w:val="left" w:pos="0"/>
          <w:tab w:val="left" w:pos="851"/>
        </w:tabs>
        <w:ind w:left="0" w:firstLine="567"/>
        <w:jc w:val="both"/>
      </w:pPr>
      <w:r>
        <w:t>субъектов малого (среднего) предпринимательства, реализующих инвестиционные проекты в сельском поселении Усть-Юган, в соответствии с приоритетными направлениями развития поселения, в размере не менее 20 миллионов рублей, в течение двух налоговых периодов с момента отр</w:t>
      </w:r>
      <w:r>
        <w:t>а</w:t>
      </w:r>
      <w:r>
        <w:t>жения произведенных капитальных вложений в бухгалтерском балансе налогоплательщика.</w:t>
      </w:r>
    </w:p>
    <w:p w:rsidR="005A4078" w:rsidRDefault="005A4078" w:rsidP="00AD7CE0">
      <w:pPr>
        <w:tabs>
          <w:tab w:val="left" w:pos="0"/>
          <w:tab w:val="left" w:pos="851"/>
        </w:tabs>
        <w:ind w:firstLine="567"/>
        <w:jc w:val="both"/>
      </w:pPr>
      <w:r>
        <w:t>Льгота предоставляется в части земельных участков</w:t>
      </w:r>
      <w:r w:rsidR="00AD7CE0">
        <w:t>, занятых имущ</w:t>
      </w:r>
      <w:r w:rsidR="00AD7CE0">
        <w:t>е</w:t>
      </w:r>
      <w:r w:rsidR="00AD7CE0">
        <w:t>ством, созданным в результате реализации инвестиционного проекта.</w:t>
      </w:r>
    </w:p>
    <w:p w:rsidR="00AD7CE0" w:rsidRDefault="00AD7CE0" w:rsidP="00AD7CE0">
      <w:pPr>
        <w:tabs>
          <w:tab w:val="left" w:pos="0"/>
          <w:tab w:val="left" w:pos="851"/>
        </w:tabs>
        <w:ind w:firstLine="567"/>
        <w:jc w:val="both"/>
      </w:pPr>
      <w:r>
        <w:t>9) вновь зарегистрированные субъекты малого (среднего) предприн</w:t>
      </w:r>
      <w:r>
        <w:t>и</w:t>
      </w:r>
      <w:r w:rsidR="00005BE8">
        <w:t>мательства сел</w:t>
      </w:r>
      <w:r>
        <w:t>ь</w:t>
      </w:r>
      <w:r w:rsidR="00005BE8">
        <w:t>с</w:t>
      </w:r>
      <w:r>
        <w:t>кого поселения Усть-Юган, в течение двух налоговых п</w:t>
      </w:r>
      <w:r>
        <w:t>е</w:t>
      </w:r>
      <w:r>
        <w:t>риодов</w:t>
      </w:r>
      <w:r w:rsidR="00005BE8">
        <w:t xml:space="preserve"> с момента государственной регистрации, </w:t>
      </w:r>
      <w:proofErr w:type="gramStart"/>
      <w:r w:rsidR="00005BE8">
        <w:t>имеющим</w:t>
      </w:r>
      <w:proofErr w:type="gramEnd"/>
      <w:r w:rsidR="00005BE8">
        <w:t xml:space="preserve"> в собственности земельный участок, используемый для осуществления деятельности в с</w:t>
      </w:r>
      <w:r w:rsidR="00005BE8">
        <w:t>о</w:t>
      </w:r>
      <w:r w:rsidR="00005BE8">
        <w:t xml:space="preserve">ответствии с приоритетными направлениями развития сельского </w:t>
      </w:r>
      <w:proofErr w:type="spellStart"/>
      <w:r w:rsidR="00005BE8">
        <w:t>посления</w:t>
      </w:r>
      <w:proofErr w:type="spellEnd"/>
      <w:r w:rsidR="00005BE8">
        <w:t xml:space="preserve"> Усть-Юган.</w:t>
      </w:r>
    </w:p>
    <w:p w:rsidR="005229AF" w:rsidRDefault="005229AF" w:rsidP="00AD7CE0">
      <w:pPr>
        <w:tabs>
          <w:tab w:val="left" w:pos="0"/>
          <w:tab w:val="left" w:pos="851"/>
        </w:tabs>
        <w:ind w:firstLine="567"/>
        <w:jc w:val="both"/>
      </w:pPr>
      <w:r>
        <w:t>10) освобождаются от  уплаты земельного налога за 2015 год в разм</w:t>
      </w:r>
      <w:r>
        <w:t>е</w:t>
      </w:r>
      <w:r>
        <w:t>ре 100% граждане и садоводческие, огороднические и дачные некоммерч</w:t>
      </w:r>
      <w:r>
        <w:t>е</w:t>
      </w:r>
      <w:r>
        <w:t>ские объединения граждан, пострадавшим в результате воздействия п</w:t>
      </w:r>
      <w:r>
        <w:t>а</w:t>
      </w:r>
      <w:r>
        <w:t>водковых вод в весенне-летний период.</w:t>
      </w:r>
    </w:p>
    <w:p w:rsidR="005229AF" w:rsidRDefault="005229AF" w:rsidP="00AD7CE0">
      <w:pPr>
        <w:tabs>
          <w:tab w:val="left" w:pos="0"/>
          <w:tab w:val="left" w:pos="851"/>
        </w:tabs>
        <w:ind w:firstLine="567"/>
        <w:jc w:val="both"/>
      </w:pPr>
      <w:r>
        <w:t>Налоговая льгота предоставляется на основании справки комитета гражданской защиты населения Нефтеюганского района при обращении в Межрайонную инспекцию Федеральной налоговой службы № 7 по ханты-Мансийскому автономному округу-Югре.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В целях применения налоговой льготы, приоритетными направлениями развития сельского поселения Усть-Юган являются следующие виды эк</w:t>
      </w:r>
      <w:r>
        <w:t>о</w:t>
      </w:r>
      <w:r>
        <w:t>номической деятельности: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сельскохозяйственное производство;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lastRenderedPageBreak/>
        <w:t>- дошкольное и начальное общее образование;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строительство жилых домов;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 xml:space="preserve">- строительство </w:t>
      </w:r>
      <w:r w:rsidR="00D12727">
        <w:t>объектов жилищно-коммунального хозяйства</w:t>
      </w:r>
      <w:r>
        <w:t>;</w:t>
      </w:r>
    </w:p>
    <w:p w:rsidR="00005BE8" w:rsidRDefault="00005BE8" w:rsidP="00AD7CE0">
      <w:pPr>
        <w:tabs>
          <w:tab w:val="left" w:pos="0"/>
          <w:tab w:val="left" w:pos="851"/>
        </w:tabs>
        <w:ind w:firstLine="567"/>
        <w:jc w:val="both"/>
      </w:pPr>
      <w:r>
        <w:t>- здравоохранение и предоставление социальных услуг.</w:t>
      </w:r>
    </w:p>
    <w:p w:rsidR="003B6006" w:rsidRDefault="00680B01" w:rsidP="00AD7CE0">
      <w:pPr>
        <w:tabs>
          <w:tab w:val="left" w:pos="0"/>
          <w:tab w:val="left" w:pos="851"/>
        </w:tabs>
        <w:ind w:firstLine="567"/>
        <w:jc w:val="both"/>
      </w:pPr>
      <w:r>
        <w:t xml:space="preserve"> </w:t>
      </w:r>
      <w:r w:rsidR="003B6006">
        <w:t>Основанием для предоставления льготы по налогу будет предоста</w:t>
      </w:r>
      <w:r w:rsidR="003B6006">
        <w:t>в</w:t>
      </w:r>
      <w:r w:rsidR="003B6006">
        <w:t>ление следующих документов:</w:t>
      </w:r>
    </w:p>
    <w:p w:rsidR="003B6006" w:rsidRDefault="003B6006" w:rsidP="00AD7CE0">
      <w:pPr>
        <w:tabs>
          <w:tab w:val="left" w:pos="0"/>
          <w:tab w:val="left" w:pos="851"/>
        </w:tabs>
        <w:ind w:firstLine="567"/>
        <w:jc w:val="both"/>
      </w:pPr>
      <w:r>
        <w:t>- документы, подтверждающие фактическое осуществление капитал</w:t>
      </w:r>
      <w:r>
        <w:t>ь</w:t>
      </w:r>
      <w:r>
        <w:t>ных вложений в имущество (договор, счёт-фактура, акт выполненных р</w:t>
      </w:r>
      <w:r>
        <w:t>а</w:t>
      </w:r>
      <w:r>
        <w:t>бот);</w:t>
      </w:r>
    </w:p>
    <w:p w:rsidR="003B6006" w:rsidRDefault="003B6006" w:rsidP="00AD7CE0">
      <w:pPr>
        <w:tabs>
          <w:tab w:val="left" w:pos="0"/>
          <w:tab w:val="left" w:pos="851"/>
        </w:tabs>
        <w:ind w:firstLine="567"/>
        <w:jc w:val="both"/>
      </w:pPr>
      <w:r>
        <w:t>- подписанное соглашение о сотрудничестве между администрацией Нефтеюганского района и инвестором по инвестиционному проекту, в р</w:t>
      </w:r>
      <w:r>
        <w:t>е</w:t>
      </w:r>
      <w:r>
        <w:t>зультате реализации которого создано имущество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Налогоплательщики, имеющие право на налоговые льготы и умен</w:t>
      </w:r>
      <w:r>
        <w:t>ь</w:t>
      </w:r>
      <w:r>
        <w:t>шение налогооблагаемой базы в соответствии с федеральным закон</w:t>
      </w:r>
      <w:r w:rsidR="006A6BA9">
        <w:t>од</w:t>
      </w:r>
      <w:r w:rsidR="006A6BA9">
        <w:t>а</w:t>
      </w:r>
      <w:r w:rsidR="006A6BA9">
        <w:t>тельством, должны пред</w:t>
      </w:r>
      <w:r>
        <w:t xml:space="preserve">ставить документы, подтверждающие </w:t>
      </w:r>
      <w:r w:rsidR="00AD591E">
        <w:t>такое</w:t>
      </w:r>
      <w:r w:rsidR="005A4078">
        <w:t xml:space="preserve"> </w:t>
      </w:r>
      <w:r>
        <w:t>право, в налоговые органы в срок до 1 февраля текущего года, либо в течение 30 дней с момента возникновения права на льготу, либо уменьшение налог</w:t>
      </w:r>
      <w:r>
        <w:t>о</w:t>
      </w:r>
      <w:r>
        <w:t>вой базы.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t>Настоящее решение подлежит официальному опубликованию (о</w:t>
      </w:r>
      <w:r>
        <w:t>б</w:t>
      </w:r>
      <w:r>
        <w:t>народованию) в информационном бюллетене «Усть-Юганский вестник»</w:t>
      </w:r>
      <w:r w:rsidR="000510D7">
        <w:t xml:space="preserve"> и размещению на официальном сайте органов местного самоуправления сельского поселения Усть-Юган в сети Интернет</w:t>
      </w:r>
      <w:r>
        <w:t>.</w:t>
      </w:r>
    </w:p>
    <w:p w:rsidR="00527656" w:rsidRDefault="00527656" w:rsidP="00527656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567"/>
        <w:jc w:val="both"/>
      </w:pPr>
      <w:r>
        <w:rPr>
          <w:rFonts w:cs="Arial"/>
          <w:szCs w:val="26"/>
        </w:rPr>
        <w:t xml:space="preserve">Настоящее решение вступает в силу </w:t>
      </w:r>
      <w:r w:rsidR="00422B28">
        <w:rPr>
          <w:rFonts w:cs="Arial"/>
          <w:szCs w:val="26"/>
        </w:rPr>
        <w:t>с 01 января 2016</w:t>
      </w:r>
      <w:r w:rsidR="000510D7">
        <w:rPr>
          <w:rFonts w:cs="Arial"/>
          <w:szCs w:val="26"/>
        </w:rPr>
        <w:t xml:space="preserve"> года, но не ранее, чем по истечении одного месяца со дня его официального опублик</w:t>
      </w:r>
      <w:r w:rsidR="000510D7">
        <w:rPr>
          <w:rFonts w:cs="Arial"/>
          <w:szCs w:val="26"/>
        </w:rPr>
        <w:t>о</w:t>
      </w:r>
      <w:r w:rsidR="000510D7">
        <w:rPr>
          <w:rFonts w:cs="Arial"/>
          <w:szCs w:val="26"/>
        </w:rPr>
        <w:t>вания (обнародования) в информационном бюллетене «Усть-Юганский вестник».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0031B8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0031B8" w:rsidP="00DE7D52">
      <w:pPr>
        <w:tabs>
          <w:tab w:val="left" w:pos="0"/>
          <w:tab w:val="left" w:pos="851"/>
          <w:tab w:val="left" w:pos="993"/>
        </w:tabs>
        <w:jc w:val="both"/>
      </w:pPr>
      <w:r>
        <w:t>Главы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В.А. Мякишев</w:t>
      </w:r>
    </w:p>
    <w:sectPr w:rsidR="00743F09" w:rsidSect="006A6B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2B" w:rsidRDefault="009C652B" w:rsidP="006A6BA9">
      <w:r>
        <w:separator/>
      </w:r>
    </w:p>
  </w:endnote>
  <w:endnote w:type="continuationSeparator" w:id="0">
    <w:p w:rsidR="009C652B" w:rsidRDefault="009C652B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2B" w:rsidRDefault="009C652B" w:rsidP="006A6BA9">
      <w:r>
        <w:separator/>
      </w:r>
    </w:p>
  </w:footnote>
  <w:footnote w:type="continuationSeparator" w:id="0">
    <w:p w:rsidR="009C652B" w:rsidRDefault="009C652B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E5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510D7"/>
    <w:rsid w:val="000C0567"/>
    <w:rsid w:val="000D0E52"/>
    <w:rsid w:val="001A0D91"/>
    <w:rsid w:val="002328D2"/>
    <w:rsid w:val="00286DA0"/>
    <w:rsid w:val="002A08D4"/>
    <w:rsid w:val="002D44EE"/>
    <w:rsid w:val="002F0A46"/>
    <w:rsid w:val="003B6006"/>
    <w:rsid w:val="003E46A4"/>
    <w:rsid w:val="00422B28"/>
    <w:rsid w:val="00455770"/>
    <w:rsid w:val="0047244D"/>
    <w:rsid w:val="00485C8C"/>
    <w:rsid w:val="004B2B6B"/>
    <w:rsid w:val="00513036"/>
    <w:rsid w:val="005229AF"/>
    <w:rsid w:val="00527656"/>
    <w:rsid w:val="0053521B"/>
    <w:rsid w:val="005712B1"/>
    <w:rsid w:val="005926E1"/>
    <w:rsid w:val="005A4078"/>
    <w:rsid w:val="006112A2"/>
    <w:rsid w:val="0064690F"/>
    <w:rsid w:val="00680B01"/>
    <w:rsid w:val="006A6BA9"/>
    <w:rsid w:val="006F7506"/>
    <w:rsid w:val="007703AD"/>
    <w:rsid w:val="00772DC2"/>
    <w:rsid w:val="00806440"/>
    <w:rsid w:val="00830402"/>
    <w:rsid w:val="00881E35"/>
    <w:rsid w:val="00883EBE"/>
    <w:rsid w:val="008D573C"/>
    <w:rsid w:val="008E4FEE"/>
    <w:rsid w:val="008E5DCC"/>
    <w:rsid w:val="009C652B"/>
    <w:rsid w:val="00A067B2"/>
    <w:rsid w:val="00A07179"/>
    <w:rsid w:val="00A20F21"/>
    <w:rsid w:val="00AD591E"/>
    <w:rsid w:val="00AD7CE0"/>
    <w:rsid w:val="00B167AF"/>
    <w:rsid w:val="00B6246D"/>
    <w:rsid w:val="00B65C01"/>
    <w:rsid w:val="00BE11C8"/>
    <w:rsid w:val="00C044BC"/>
    <w:rsid w:val="00C168A6"/>
    <w:rsid w:val="00C56A2E"/>
    <w:rsid w:val="00C7170E"/>
    <w:rsid w:val="00C9368F"/>
    <w:rsid w:val="00CD61D0"/>
    <w:rsid w:val="00D12727"/>
    <w:rsid w:val="00DE184E"/>
    <w:rsid w:val="00DE7D52"/>
    <w:rsid w:val="00E44327"/>
    <w:rsid w:val="00E456A8"/>
    <w:rsid w:val="00E8463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2015-12-01T06:01:00Z</cp:lastPrinted>
  <dcterms:created xsi:type="dcterms:W3CDTF">2022-04-11T04:40:00Z</dcterms:created>
  <dcterms:modified xsi:type="dcterms:W3CDTF">2022-04-11T04:40:00Z</dcterms:modified>
</cp:coreProperties>
</file>